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E6256B" w:rsidP="00BF2C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ENVIRONMENTAL ANALYSIS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E6256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27A5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B2659B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51,85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85,60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 xml:space="preserve">, Field of study </w:t>
            </w:r>
            <w:r w:rsidR="009C541E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>Environmental chemistry and quality control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027A5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A58" w:rsidRPr="00027A58">
              <w:rPr>
                <w:rFonts w:asciiTheme="majorHAnsi" w:hAnsiTheme="majorHAnsi" w:cs="Arial"/>
                <w:b/>
                <w:sz w:val="18"/>
                <w:szCs w:val="18"/>
              </w:rPr>
              <w:t>Acquiring knowledge of interactions within the environment (water–air, soil–air, water–soil), as well as the ability to independently plan sampling, perform sample preparation, conduct analyses</w:t>
            </w:r>
            <w:r w:rsidR="00027A58">
              <w:rPr>
                <w:rFonts w:asciiTheme="majorHAnsi" w:hAnsiTheme="majorHAnsi" w:cs="Arial"/>
                <w:b/>
                <w:sz w:val="18"/>
                <w:szCs w:val="18"/>
              </w:rPr>
              <w:t xml:space="preserve">, </w:t>
            </w:r>
            <w:r w:rsidR="00027A58" w:rsidRPr="00027A58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process</w:t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>, and</w:t>
            </w:r>
            <w:r w:rsidR="00027A58" w:rsidRPr="00027A58">
              <w:rPr>
                <w:rFonts w:asciiTheme="majorHAnsi" w:hAnsiTheme="majorHAnsi" w:cs="Arial"/>
                <w:b/>
                <w:sz w:val="18"/>
                <w:szCs w:val="18"/>
              </w:rPr>
              <w:t xml:space="preserve"> interpret results.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C0F81" w:rsidRPr="005C0F81" w:rsidRDefault="00E6256B" w:rsidP="005C0F8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course, students will be able to:</w:t>
            </w:r>
          </w:p>
          <w:p w:rsidR="005C0F81" w:rsidRPr="005C0F81" w:rsidRDefault="005C0F81" w:rsidP="005C0F8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5C0F81">
              <w:rPr>
                <w:rFonts w:asciiTheme="majorHAnsi" w:hAnsiTheme="majorHAnsi" w:cs="Arial"/>
                <w:b/>
                <w:sz w:val="18"/>
                <w:szCs w:val="18"/>
              </w:rPr>
              <w:t>understand the principles of environmental sampling, sample preparation, and analytical procedures;</w:t>
            </w:r>
          </w:p>
          <w:p w:rsidR="005C0F81" w:rsidRPr="005C0F81" w:rsidRDefault="005C0F81" w:rsidP="005C0F8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5C0F81">
              <w:rPr>
                <w:rFonts w:asciiTheme="majorHAnsi" w:hAnsiTheme="majorHAnsi" w:cs="Arial"/>
                <w:b/>
                <w:sz w:val="18"/>
                <w:szCs w:val="18"/>
              </w:rPr>
              <w:t>understand the principles of processing analytical results and assessing environmental risks;</w:t>
            </w:r>
          </w:p>
          <w:p w:rsidR="00CB72ED" w:rsidRPr="00B96B4F" w:rsidRDefault="005C0F81" w:rsidP="005C0F8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Pr="005C0F81">
              <w:rPr>
                <w:rFonts w:asciiTheme="majorHAnsi" w:hAnsiTheme="majorHAnsi" w:cs="Arial"/>
                <w:b/>
                <w:sz w:val="18"/>
                <w:szCs w:val="18"/>
              </w:rPr>
              <w:t>demonstrate knowledge of the legislative framework in environmental protection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547F9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An introduction to environmental analytics, including chemical principles governing environmental systems and environmental sampling techniques.</w:t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 A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nalytical separation methods and sample preparation procedures for analysis. </w:t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ata interpretation and processing</w:t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>. S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tandard deviation and error analysis. </w:t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pplication of analytical methods and techniques in environmental analysis. Electroanalytical methods</w:t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potentiometry, voltammetry, conductometry, and coulometry. The calculation of pH values for waters of different compositions (lake, river, and rainwater)</w:t>
            </w:r>
            <w:r w:rsidR="005C0F81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 Spectrometric methods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absorption and emission techniques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. D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ata processing of spectrometric measurements. Instrumental separation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techniques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G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as chromatography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. L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iquid chromatography, as well as the development of chromatographic methods. Additional analytical techniques, including thermal and radiochemical methods. 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xamin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 xml:space="preserve">ation of 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trace elements in the environment, their natural occurrence, chemical forms, and toxicity levels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. E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nvironmental risk assessment.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Environmental protection legislation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tatistical processing of analytical results from environmental samples (air, water, and soil). The determination of trace organic compounds</w:t>
            </w:r>
            <w:r w:rsidR="00547F97">
              <w:rPr>
                <w:rFonts w:asciiTheme="majorHAnsi" w:hAnsiTheme="majorHAnsi" w:cs="Arial"/>
                <w:b/>
                <w:sz w:val="18"/>
                <w:szCs w:val="18"/>
              </w:rPr>
              <w:t>. T</w:t>
            </w:r>
            <w:r w:rsidR="005C0F81" w:rsidRPr="005C0F81">
              <w:rPr>
                <w:rFonts w:asciiTheme="majorHAnsi" w:hAnsiTheme="majorHAnsi" w:cs="Arial"/>
                <w:b/>
                <w:sz w:val="18"/>
                <w:szCs w:val="18"/>
              </w:rPr>
              <w:t>he promotion of an ethical approach to environmental protection.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  <w:bookmarkStart w:id="3" w:name="_GoBack"/>
            <w:bookmarkEnd w:id="3"/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E6256B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Written 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 xml:space="preserve">methods  (tests) and oral methods (seminar paper) </w:t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are used to verify the acquired knowledge in the subject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(partial exams)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related to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topics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previously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covered in lectures</w:t>
            </w:r>
            <w:r w:rsidR="00AA49D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9C541E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A student can achieve a maximum of 30 points on each of the two tests.</w:t>
            </w:r>
          </w:p>
          <w:p w:rsid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AA49D6" w:rsidRPr="00AA49D6">
              <w:rPr>
                <w:rFonts w:asciiTheme="majorHAnsi" w:hAnsiTheme="majorHAnsi" w:cs="Arial"/>
                <w:b/>
                <w:sz w:val="18"/>
                <w:szCs w:val="18"/>
              </w:rPr>
              <w:t xml:space="preserve">The final exam is a written examination, with a maximum of 20 points. </w:t>
            </w:r>
          </w:p>
          <w:p w:rsidR="00961292" w:rsidRPr="00961292" w:rsidRDefault="00AA49D6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Pr="00AA49D6">
              <w:rPr>
                <w:rFonts w:asciiTheme="majorHAnsi" w:hAnsiTheme="majorHAnsi" w:cs="Arial"/>
                <w:b/>
                <w:sz w:val="18"/>
                <w:szCs w:val="18"/>
              </w:rPr>
              <w:t>During the semester, students also orally defend a seminar paper on an assigned topic, earning up to 20 points for this activity.</w:t>
            </w:r>
          </w:p>
          <w:p w:rsidR="00961292" w:rsidRPr="00961292" w:rsidRDefault="009C541E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3D0D20" w:rsidRPr="003D0D20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</w:t>
            </w:r>
            <w:r w:rsidR="003D0D2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CB72ED" w:rsidRPr="00B96B4F" w:rsidRDefault="009C541E" w:rsidP="003D0D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E6256B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C541E" w:rsidRPr="009C541E" w:rsidRDefault="00E6256B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C541E" w:rsidRPr="009C541E">
              <w:rPr>
                <w:rFonts w:asciiTheme="majorHAnsi" w:hAnsiTheme="majorHAnsi" w:cs="Arial"/>
                <w:b/>
                <w:sz w:val="18"/>
                <w:szCs w:val="18"/>
              </w:rPr>
              <w:t>1. Kaštelan-Macan, Marija; Petrović, Mira. Analitika okoliša. HINUS; Zagreb 2013.</w:t>
            </w:r>
          </w:p>
          <w:p w:rsidR="009C541E" w:rsidRPr="009C541E" w:rsidRDefault="009C541E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C541E">
              <w:rPr>
                <w:rFonts w:asciiTheme="majorHAnsi" w:hAnsiTheme="majorHAnsi" w:cs="Arial"/>
                <w:b/>
                <w:sz w:val="18"/>
                <w:szCs w:val="18"/>
              </w:rPr>
              <w:t>2. D. Ašperger, Analitika okoliša, HINUS&amp;FKIT, Zagreb 2013.</w:t>
            </w:r>
          </w:p>
          <w:p w:rsidR="00CB72ED" w:rsidRPr="00B96B4F" w:rsidRDefault="009C541E" w:rsidP="009C541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C541E">
              <w:rPr>
                <w:rFonts w:asciiTheme="majorHAnsi" w:hAnsiTheme="majorHAnsi" w:cs="Arial"/>
                <w:b/>
                <w:sz w:val="18"/>
                <w:szCs w:val="18"/>
              </w:rPr>
              <w:t>3. Mersiha Suljkanović, „Spektrometrijske metode“. IN SCAN Tuzla, 2024.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0D3F4C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659B" w:rsidRDefault="00B2659B">
      <w:pPr>
        <w:spacing w:line="240" w:lineRule="auto"/>
      </w:pPr>
      <w:r>
        <w:separator/>
      </w:r>
    </w:p>
  </w:endnote>
  <w:endnote w:type="continuationSeparator" w:id="0">
    <w:p w:rsidR="00B2659B" w:rsidRDefault="00B265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E6256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27A58">
            <w:rPr>
              <w:rFonts w:ascii="Cambria" w:hAnsi="Cambria" w:cs="Calibri"/>
              <w:noProof/>
              <w:sz w:val="16"/>
              <w:szCs w:val="16"/>
            </w:rPr>
            <w:t>19.3.2026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0658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06582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659B" w:rsidRDefault="00B2659B">
      <w:pPr>
        <w:spacing w:after="0"/>
      </w:pPr>
      <w:r>
        <w:separator/>
      </w:r>
    </w:p>
  </w:footnote>
  <w:footnote w:type="continuationSeparator" w:id="0">
    <w:p w:rsidR="00B2659B" w:rsidRDefault="00B265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A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3F4C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E5D44"/>
    <w:rsid w:val="001F251C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0D20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0658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47F97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732B"/>
    <w:rsid w:val="005C0F81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5D18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109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C541E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9D6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22657"/>
    <w:rsid w:val="00B2659B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56B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9BECB"/>
  <w15:docId w15:val="{DD78C20F-A5B1-4845-87F6-C3EEDCDD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B076E-640B-4BC8-B1AD-2DA2C108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Korisnik</cp:lastModifiedBy>
  <cp:revision>3</cp:revision>
  <cp:lastPrinted>2024-03-25T13:56:00Z</cp:lastPrinted>
  <dcterms:created xsi:type="dcterms:W3CDTF">2026-03-19T07:20:00Z</dcterms:created>
  <dcterms:modified xsi:type="dcterms:W3CDTF">2026-03-19T08:18:00Z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